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E4C" w:rsidRDefault="00233E4C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PPS</w:t>
      </w:r>
      <w:r w:rsidR="005610CB">
        <w:rPr>
          <w:rFonts w:ascii="Arial" w:hAnsi="Arial" w:cs="Arial"/>
          <w:b/>
          <w:sz w:val="20"/>
          <w:szCs w:val="20"/>
        </w:rPr>
        <w:t>: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 </w:t>
      </w:r>
      <w:r w:rsidR="00A06443">
        <w:rPr>
          <w:rFonts w:ascii="Arial" w:hAnsi="Arial" w:cs="Arial"/>
          <w:b/>
          <w:sz w:val="20"/>
          <w:szCs w:val="20"/>
        </w:rPr>
        <w:t xml:space="preserve">Board resolution </w:t>
      </w:r>
    </w:p>
    <w:p w:rsidR="00467BC0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233E4C">
        <w:rPr>
          <w:rFonts w:ascii="Arial" w:hAnsi="Arial" w:cs="Arial"/>
          <w:sz w:val="20"/>
          <w:szCs w:val="20"/>
        </w:rPr>
        <w:t>25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233E4C" w:rsidRPr="00233E4C">
        <w:rPr>
          <w:rFonts w:ascii="Arial" w:hAnsi="Arial" w:cs="Arial"/>
          <w:sz w:val="20"/>
          <w:szCs w:val="20"/>
        </w:rPr>
        <w:t>Petrovietnam</w:t>
      </w:r>
      <w:proofErr w:type="spellEnd"/>
      <w:r w:rsidR="00233E4C" w:rsidRPr="00233E4C">
        <w:rPr>
          <w:rFonts w:ascii="Arial" w:hAnsi="Arial" w:cs="Arial"/>
          <w:sz w:val="20"/>
          <w:szCs w:val="20"/>
        </w:rPr>
        <w:t xml:space="preserve"> Power Services </w:t>
      </w:r>
      <w:r w:rsidR="00233E4C">
        <w:rPr>
          <w:rFonts w:ascii="Arial" w:hAnsi="Arial" w:cs="Arial"/>
          <w:sz w:val="20"/>
          <w:szCs w:val="20"/>
        </w:rPr>
        <w:t xml:space="preserve">Joint Stock Company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Board resolution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233E4C" w:rsidRDefault="00233E4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</w:t>
      </w:r>
      <w:r w:rsidRPr="00233E4C">
        <w:rPr>
          <w:rFonts w:ascii="Arial" w:hAnsi="Arial" w:cs="Arial"/>
          <w:sz w:val="20"/>
          <w:szCs w:val="20"/>
        </w:rPr>
        <w:t xml:space="preserve"> The Board of Directors of </w:t>
      </w:r>
      <w:proofErr w:type="spellStart"/>
      <w:r w:rsidRPr="00233E4C">
        <w:rPr>
          <w:rFonts w:ascii="Arial" w:hAnsi="Arial" w:cs="Arial"/>
          <w:sz w:val="20"/>
          <w:szCs w:val="20"/>
        </w:rPr>
        <w:t>PetroVietnam</w:t>
      </w:r>
      <w:proofErr w:type="spellEnd"/>
      <w:r w:rsidRPr="00233E4C">
        <w:rPr>
          <w:rFonts w:ascii="Arial" w:hAnsi="Arial" w:cs="Arial"/>
          <w:sz w:val="20"/>
          <w:szCs w:val="20"/>
        </w:rPr>
        <w:t xml:space="preserve"> Power Services Joint Stock Company </w:t>
      </w:r>
      <w:r>
        <w:rPr>
          <w:rFonts w:ascii="Arial" w:hAnsi="Arial" w:cs="Arial"/>
          <w:sz w:val="20"/>
          <w:szCs w:val="20"/>
        </w:rPr>
        <w:t>agreed to</w:t>
      </w:r>
      <w:r w:rsidRPr="00233E4C">
        <w:rPr>
          <w:rFonts w:ascii="Arial" w:hAnsi="Arial" w:cs="Arial"/>
          <w:sz w:val="20"/>
          <w:szCs w:val="20"/>
        </w:rPr>
        <w:t xml:space="preserve"> the following contents: </w:t>
      </w:r>
    </w:p>
    <w:p w:rsidR="00233E4C" w:rsidRDefault="00233E4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233E4C">
        <w:rPr>
          <w:rFonts w:ascii="Arial" w:hAnsi="Arial" w:cs="Arial"/>
          <w:sz w:val="20"/>
          <w:szCs w:val="20"/>
        </w:rPr>
        <w:t xml:space="preserve"> Approving the results of implementing the business targets for the first quarter of 2020 </w:t>
      </w:r>
    </w:p>
    <w:p w:rsidR="00233E4C" w:rsidRDefault="00233E4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33E4C">
        <w:rPr>
          <w:rFonts w:ascii="Arial" w:hAnsi="Arial" w:cs="Arial"/>
          <w:sz w:val="20"/>
          <w:szCs w:val="20"/>
        </w:rPr>
        <w:t xml:space="preserve">Approving the results of implementing the targets of production and business in the first quarter of 2020 as follows: </w:t>
      </w:r>
    </w:p>
    <w:p w:rsidR="00233E4C" w:rsidRDefault="00233E4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33E4C">
        <w:rPr>
          <w:rFonts w:ascii="Arial" w:hAnsi="Arial" w:cs="Arial"/>
          <w:sz w:val="20"/>
          <w:szCs w:val="20"/>
        </w:rPr>
        <w:t xml:space="preserve">Unit: VND billion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33E4C" w:rsidTr="00233E4C">
        <w:tc>
          <w:tcPr>
            <w:tcW w:w="3192" w:type="dxa"/>
          </w:tcPr>
          <w:p w:rsidR="00233E4C" w:rsidRDefault="00233E4C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 indicators</w:t>
            </w:r>
          </w:p>
        </w:tc>
        <w:tc>
          <w:tcPr>
            <w:tcW w:w="3192" w:type="dxa"/>
          </w:tcPr>
          <w:p w:rsidR="00233E4C" w:rsidRDefault="00233E4C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E4C">
              <w:rPr>
                <w:rFonts w:ascii="Arial" w:hAnsi="Arial" w:cs="Arial"/>
                <w:sz w:val="20"/>
                <w:szCs w:val="20"/>
              </w:rPr>
              <w:t>Estimated implementation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Q.I/ 2020</w:t>
            </w:r>
          </w:p>
        </w:tc>
        <w:tc>
          <w:tcPr>
            <w:tcW w:w="3192" w:type="dxa"/>
          </w:tcPr>
          <w:p w:rsidR="00233E4C" w:rsidRDefault="00233E4C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E4C">
              <w:rPr>
                <w:rFonts w:ascii="Arial" w:hAnsi="Arial" w:cs="Arial"/>
                <w:sz w:val="20"/>
                <w:szCs w:val="20"/>
              </w:rPr>
              <w:t>Estimated implementation</w:t>
            </w:r>
            <w:r>
              <w:rPr>
                <w:rFonts w:ascii="Arial" w:hAnsi="Arial" w:cs="Arial"/>
                <w:sz w:val="20"/>
                <w:szCs w:val="20"/>
              </w:rPr>
              <w:t>/ Plan</w:t>
            </w:r>
          </w:p>
        </w:tc>
      </w:tr>
      <w:tr w:rsidR="00233E4C" w:rsidTr="00233E4C">
        <w:tc>
          <w:tcPr>
            <w:tcW w:w="3192" w:type="dxa"/>
          </w:tcPr>
          <w:p w:rsidR="00233E4C" w:rsidRDefault="00233E4C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E4C">
              <w:rPr>
                <w:rFonts w:ascii="Arial" w:hAnsi="Arial" w:cs="Arial"/>
                <w:sz w:val="20"/>
                <w:szCs w:val="20"/>
              </w:rPr>
              <w:t>Total revenue</w:t>
            </w:r>
          </w:p>
        </w:tc>
        <w:tc>
          <w:tcPr>
            <w:tcW w:w="3192" w:type="dxa"/>
          </w:tcPr>
          <w:p w:rsidR="00233E4C" w:rsidRDefault="00233E4C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E4C">
              <w:rPr>
                <w:rFonts w:ascii="Arial" w:hAnsi="Arial" w:cs="Arial"/>
                <w:sz w:val="20"/>
                <w:szCs w:val="20"/>
              </w:rPr>
              <w:t>50</w:t>
            </w:r>
            <w:r w:rsidR="00DE40E8">
              <w:rPr>
                <w:rFonts w:ascii="Arial" w:hAnsi="Arial" w:cs="Arial"/>
                <w:sz w:val="20"/>
                <w:szCs w:val="20"/>
              </w:rPr>
              <w:t>.</w:t>
            </w:r>
            <w:r w:rsidRPr="00233E4C">
              <w:rPr>
                <w:rFonts w:ascii="Arial" w:hAnsi="Arial" w:cs="Arial"/>
                <w:sz w:val="20"/>
                <w:szCs w:val="20"/>
              </w:rPr>
              <w:t>84</w:t>
            </w:r>
            <w:bookmarkStart w:id="0" w:name="_GoBack"/>
            <w:bookmarkEnd w:id="0"/>
          </w:p>
        </w:tc>
        <w:tc>
          <w:tcPr>
            <w:tcW w:w="3192" w:type="dxa"/>
          </w:tcPr>
          <w:p w:rsidR="00233E4C" w:rsidRDefault="00233E4C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E4C">
              <w:rPr>
                <w:rFonts w:ascii="Arial" w:hAnsi="Arial" w:cs="Arial"/>
                <w:sz w:val="20"/>
                <w:szCs w:val="20"/>
              </w:rPr>
              <w:t>114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233E4C">
              <w:rPr>
                <w:rFonts w:ascii="Arial" w:hAnsi="Arial" w:cs="Arial"/>
                <w:sz w:val="20"/>
                <w:szCs w:val="20"/>
              </w:rPr>
              <w:t>43%</w:t>
            </w:r>
          </w:p>
        </w:tc>
      </w:tr>
      <w:tr w:rsidR="00233E4C" w:rsidTr="00233E4C">
        <w:tc>
          <w:tcPr>
            <w:tcW w:w="3192" w:type="dxa"/>
          </w:tcPr>
          <w:p w:rsidR="00233E4C" w:rsidRDefault="00233E4C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233E4C">
              <w:rPr>
                <w:rFonts w:ascii="Arial" w:hAnsi="Arial" w:cs="Arial"/>
                <w:sz w:val="20"/>
                <w:szCs w:val="20"/>
              </w:rPr>
              <w:t>otal cost</w:t>
            </w:r>
          </w:p>
        </w:tc>
        <w:tc>
          <w:tcPr>
            <w:tcW w:w="3192" w:type="dxa"/>
          </w:tcPr>
          <w:p w:rsidR="00233E4C" w:rsidRDefault="00233E4C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E4C">
              <w:rPr>
                <w:rFonts w:ascii="Arial" w:hAnsi="Arial" w:cs="Arial"/>
                <w:sz w:val="20"/>
                <w:szCs w:val="20"/>
              </w:rPr>
              <w:t>47</w:t>
            </w:r>
            <w:r w:rsidR="00DE40E8">
              <w:rPr>
                <w:rFonts w:ascii="Arial" w:hAnsi="Arial" w:cs="Arial"/>
                <w:sz w:val="20"/>
                <w:szCs w:val="20"/>
              </w:rPr>
              <w:t>.</w:t>
            </w:r>
            <w:r w:rsidRPr="00233E4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192" w:type="dxa"/>
          </w:tcPr>
          <w:p w:rsidR="00233E4C" w:rsidRDefault="00233E4C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E4C">
              <w:rPr>
                <w:rFonts w:ascii="Arial" w:hAnsi="Arial" w:cs="Arial"/>
                <w:sz w:val="20"/>
                <w:szCs w:val="20"/>
              </w:rPr>
              <w:t>114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233E4C">
              <w:rPr>
                <w:rFonts w:ascii="Arial" w:hAnsi="Arial" w:cs="Arial"/>
                <w:sz w:val="20"/>
                <w:szCs w:val="20"/>
              </w:rPr>
              <w:t>31%</w:t>
            </w:r>
          </w:p>
        </w:tc>
      </w:tr>
      <w:tr w:rsidR="00233E4C" w:rsidTr="00233E4C">
        <w:tc>
          <w:tcPr>
            <w:tcW w:w="3192" w:type="dxa"/>
          </w:tcPr>
          <w:p w:rsidR="00233E4C" w:rsidRDefault="00233E4C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E4C">
              <w:rPr>
                <w:rFonts w:ascii="Arial" w:hAnsi="Arial" w:cs="Arial"/>
                <w:sz w:val="20"/>
                <w:szCs w:val="20"/>
              </w:rPr>
              <w:t>Profit before tax</w:t>
            </w:r>
          </w:p>
        </w:tc>
        <w:tc>
          <w:tcPr>
            <w:tcW w:w="3192" w:type="dxa"/>
          </w:tcPr>
          <w:p w:rsidR="00233E4C" w:rsidRDefault="00233E4C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E4C">
              <w:rPr>
                <w:rFonts w:ascii="Arial" w:hAnsi="Arial" w:cs="Arial"/>
                <w:sz w:val="20"/>
                <w:szCs w:val="20"/>
              </w:rPr>
              <w:t>2</w:t>
            </w:r>
            <w:r w:rsidR="00DE40E8">
              <w:rPr>
                <w:rFonts w:ascii="Arial" w:hAnsi="Arial" w:cs="Arial"/>
                <w:sz w:val="20"/>
                <w:szCs w:val="20"/>
              </w:rPr>
              <w:t>.</w:t>
            </w:r>
            <w:r w:rsidRPr="00233E4C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3192" w:type="dxa"/>
          </w:tcPr>
          <w:p w:rsidR="00233E4C" w:rsidRDefault="00233E4C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E4C">
              <w:rPr>
                <w:rFonts w:ascii="Arial" w:hAnsi="Arial" w:cs="Arial"/>
                <w:sz w:val="20"/>
                <w:szCs w:val="20"/>
              </w:rPr>
              <w:t>116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233E4C">
              <w:rPr>
                <w:rFonts w:ascii="Arial" w:hAnsi="Arial" w:cs="Arial"/>
                <w:sz w:val="20"/>
                <w:szCs w:val="20"/>
              </w:rPr>
              <w:t>44%</w:t>
            </w:r>
          </w:p>
        </w:tc>
      </w:tr>
    </w:tbl>
    <w:p w:rsidR="00233E4C" w:rsidRDefault="00233E4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33E4C" w:rsidRDefault="00233E4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33E4C">
        <w:rPr>
          <w:rFonts w:ascii="Arial" w:hAnsi="Arial" w:cs="Arial"/>
          <w:sz w:val="20"/>
          <w:szCs w:val="20"/>
        </w:rPr>
        <w:t xml:space="preserve">In the second quarter of 2020, the Company needs to drastically implement the preparation for bidding for </w:t>
      </w:r>
      <w:proofErr w:type="spellStart"/>
      <w:r w:rsidRPr="00233E4C">
        <w:rPr>
          <w:rFonts w:ascii="Arial" w:hAnsi="Arial" w:cs="Arial"/>
          <w:sz w:val="20"/>
          <w:szCs w:val="20"/>
        </w:rPr>
        <w:t>Ca</w:t>
      </w:r>
      <w:proofErr w:type="spellEnd"/>
      <w:r w:rsidRPr="00233E4C">
        <w:rPr>
          <w:rFonts w:ascii="Arial" w:hAnsi="Arial" w:cs="Arial"/>
          <w:sz w:val="20"/>
          <w:szCs w:val="20"/>
        </w:rPr>
        <w:t xml:space="preserve"> Mau 1 which is expected to take place in August 2020 and </w:t>
      </w:r>
      <w:r>
        <w:rPr>
          <w:rFonts w:ascii="Arial" w:hAnsi="Arial" w:cs="Arial"/>
          <w:sz w:val="20"/>
          <w:szCs w:val="20"/>
        </w:rPr>
        <w:t>re</w:t>
      </w:r>
      <w:r w:rsidRPr="00233E4C">
        <w:rPr>
          <w:rFonts w:ascii="Arial" w:hAnsi="Arial" w:cs="Arial"/>
          <w:sz w:val="20"/>
          <w:szCs w:val="20"/>
        </w:rPr>
        <w:t xml:space="preserve">sign the regular BDSC contract of </w:t>
      </w:r>
      <w:proofErr w:type="spellStart"/>
      <w:r w:rsidRPr="00233E4C">
        <w:rPr>
          <w:rFonts w:ascii="Arial" w:hAnsi="Arial" w:cs="Arial"/>
          <w:sz w:val="20"/>
          <w:szCs w:val="20"/>
        </w:rPr>
        <w:t>Vung</w:t>
      </w:r>
      <w:proofErr w:type="spellEnd"/>
      <w:r w:rsidRPr="00233E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3E4C">
        <w:rPr>
          <w:rFonts w:ascii="Arial" w:hAnsi="Arial" w:cs="Arial"/>
          <w:sz w:val="20"/>
          <w:szCs w:val="20"/>
        </w:rPr>
        <w:t>Ang</w:t>
      </w:r>
      <w:proofErr w:type="spellEnd"/>
      <w:r>
        <w:rPr>
          <w:rFonts w:ascii="Arial" w:hAnsi="Arial" w:cs="Arial"/>
          <w:sz w:val="20"/>
          <w:szCs w:val="20"/>
        </w:rPr>
        <w:t xml:space="preserve"> 1 Power Plant in October 2020 and</w:t>
      </w:r>
      <w:r w:rsidRPr="00233E4C">
        <w:rPr>
          <w:rFonts w:ascii="Arial" w:hAnsi="Arial" w:cs="Arial"/>
          <w:sz w:val="20"/>
          <w:szCs w:val="20"/>
        </w:rPr>
        <w:t xml:space="preserve"> focus on timely deployment of other work </w:t>
      </w:r>
      <w:r>
        <w:rPr>
          <w:rFonts w:ascii="Arial" w:hAnsi="Arial" w:cs="Arial"/>
          <w:sz w:val="20"/>
          <w:szCs w:val="20"/>
        </w:rPr>
        <w:t>items according to the set plan</w:t>
      </w:r>
    </w:p>
    <w:p w:rsidR="00233E4C" w:rsidRDefault="00233E4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</w:t>
      </w:r>
      <w:r w:rsidRPr="00233E4C">
        <w:rPr>
          <w:rFonts w:ascii="Arial" w:hAnsi="Arial" w:cs="Arial"/>
          <w:sz w:val="20"/>
          <w:szCs w:val="20"/>
        </w:rPr>
        <w:t xml:space="preserve"> After reviewing the reports, the Board of Directors required the Executive Board to immediately complete the following issues: </w:t>
      </w:r>
    </w:p>
    <w:p w:rsidR="00233E4C" w:rsidRDefault="00233E4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233E4C">
        <w:rPr>
          <w:rFonts w:ascii="Arial" w:hAnsi="Arial" w:cs="Arial"/>
          <w:sz w:val="20"/>
          <w:szCs w:val="20"/>
        </w:rPr>
        <w:t xml:space="preserve">The situation of debt collection of Da Nang Branch: </w:t>
      </w:r>
    </w:p>
    <w:p w:rsidR="00233E4C" w:rsidRDefault="00233E4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Based on the report No.157/ CV - DVKT - TCKT dated</w:t>
      </w:r>
      <w:r w:rsidRPr="00233E4C">
        <w:rPr>
          <w:rFonts w:ascii="Arial" w:hAnsi="Arial" w:cs="Arial"/>
          <w:sz w:val="20"/>
          <w:szCs w:val="20"/>
        </w:rPr>
        <w:t xml:space="preserve"> March 20, 2020 of the Company Director, the Board of Directors reque</w:t>
      </w:r>
      <w:r>
        <w:rPr>
          <w:rFonts w:ascii="Arial" w:hAnsi="Arial" w:cs="Arial"/>
          <w:sz w:val="20"/>
          <w:szCs w:val="20"/>
        </w:rPr>
        <w:t>sted Da Nang Branch to focus on</w:t>
      </w:r>
      <w:r w:rsidRPr="00233E4C">
        <w:rPr>
          <w:rFonts w:ascii="Arial" w:hAnsi="Arial" w:cs="Arial"/>
          <w:sz w:val="20"/>
          <w:szCs w:val="20"/>
        </w:rPr>
        <w:t xml:space="preserve"> debt recovery, especially debt at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DakDrink</w:t>
      </w:r>
      <w:proofErr w:type="spellEnd"/>
      <w:r>
        <w:rPr>
          <w:rFonts w:ascii="Arial" w:hAnsi="Arial" w:cs="Arial"/>
          <w:sz w:val="20"/>
          <w:szCs w:val="20"/>
        </w:rPr>
        <w:t xml:space="preserve"> hydroelectric plant. </w:t>
      </w:r>
      <w:r w:rsidRPr="00233E4C">
        <w:rPr>
          <w:rFonts w:ascii="Arial" w:hAnsi="Arial" w:cs="Arial"/>
          <w:sz w:val="20"/>
          <w:szCs w:val="20"/>
        </w:rPr>
        <w:t>Request Da Nang Bra</w:t>
      </w:r>
      <w:r>
        <w:rPr>
          <w:rFonts w:ascii="Arial" w:hAnsi="Arial" w:cs="Arial"/>
          <w:sz w:val="20"/>
          <w:szCs w:val="20"/>
        </w:rPr>
        <w:t xml:space="preserve">nch to complete in April 2020; </w:t>
      </w:r>
      <w:r w:rsidRPr="00233E4C">
        <w:rPr>
          <w:rFonts w:ascii="Arial" w:hAnsi="Arial" w:cs="Arial"/>
          <w:sz w:val="20"/>
          <w:szCs w:val="20"/>
        </w:rPr>
        <w:t>Pay special attention to capital recovery issues, avoiding financial risks in</w:t>
      </w:r>
      <w:r>
        <w:rPr>
          <w:rFonts w:ascii="Arial" w:hAnsi="Arial" w:cs="Arial"/>
          <w:sz w:val="20"/>
          <w:szCs w:val="20"/>
        </w:rPr>
        <w:t xml:space="preserve"> other contracts of the Company</w:t>
      </w:r>
    </w:p>
    <w:p w:rsidR="00107795" w:rsidRDefault="00233E4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233E4C">
        <w:rPr>
          <w:rFonts w:ascii="Arial" w:hAnsi="Arial" w:cs="Arial"/>
          <w:sz w:val="20"/>
          <w:szCs w:val="20"/>
        </w:rPr>
        <w:t>Assessing the situation of production and busine</w:t>
      </w:r>
      <w:r w:rsidR="00107795">
        <w:rPr>
          <w:rFonts w:ascii="Arial" w:hAnsi="Arial" w:cs="Arial"/>
          <w:sz w:val="20"/>
          <w:szCs w:val="20"/>
        </w:rPr>
        <w:t>ss at</w:t>
      </w:r>
      <w:r w:rsidRPr="00233E4C">
        <w:rPr>
          <w:rFonts w:ascii="Arial" w:hAnsi="Arial" w:cs="Arial"/>
          <w:sz w:val="20"/>
          <w:szCs w:val="20"/>
        </w:rPr>
        <w:t xml:space="preserve"> PAIC, considering implementing</w:t>
      </w:r>
      <w:r w:rsidR="00107795">
        <w:rPr>
          <w:rFonts w:ascii="Arial" w:hAnsi="Arial" w:cs="Arial"/>
          <w:sz w:val="20"/>
          <w:szCs w:val="20"/>
        </w:rPr>
        <w:t xml:space="preserve"> capital</w:t>
      </w:r>
      <w:r w:rsidRPr="00233E4C">
        <w:rPr>
          <w:rFonts w:ascii="Arial" w:hAnsi="Arial" w:cs="Arial"/>
          <w:sz w:val="20"/>
          <w:szCs w:val="20"/>
        </w:rPr>
        <w:t xml:space="preserve"> divestment of PV Power Services at PAIC: </w:t>
      </w:r>
    </w:p>
    <w:p w:rsidR="00107795" w:rsidRDefault="00233E4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33E4C">
        <w:rPr>
          <w:rFonts w:ascii="Arial" w:hAnsi="Arial" w:cs="Arial"/>
          <w:sz w:val="20"/>
          <w:szCs w:val="20"/>
        </w:rPr>
        <w:lastRenderedPageBreak/>
        <w:t xml:space="preserve">- The Board of Directors agreed with the policy of reporting to </w:t>
      </w:r>
      <w:r w:rsidR="00107795" w:rsidRPr="00233E4C">
        <w:rPr>
          <w:rFonts w:ascii="Arial" w:hAnsi="Arial" w:cs="Arial"/>
          <w:sz w:val="20"/>
          <w:szCs w:val="20"/>
        </w:rPr>
        <w:t>controlling</w:t>
      </w:r>
      <w:r w:rsidR="00107795" w:rsidRPr="00233E4C">
        <w:rPr>
          <w:rFonts w:ascii="Arial" w:hAnsi="Arial" w:cs="Arial"/>
          <w:sz w:val="20"/>
          <w:szCs w:val="20"/>
        </w:rPr>
        <w:t xml:space="preserve"> </w:t>
      </w:r>
      <w:r w:rsidRPr="00233E4C">
        <w:rPr>
          <w:rFonts w:ascii="Arial" w:hAnsi="Arial" w:cs="Arial"/>
          <w:sz w:val="20"/>
          <w:szCs w:val="20"/>
        </w:rPr>
        <w:t xml:space="preserve">shareholders </w:t>
      </w:r>
      <w:r w:rsidR="00107795">
        <w:rPr>
          <w:rFonts w:ascii="Arial" w:hAnsi="Arial" w:cs="Arial"/>
          <w:sz w:val="20"/>
          <w:szCs w:val="20"/>
        </w:rPr>
        <w:t>of PV Power about the difficulties</w:t>
      </w:r>
      <w:r w:rsidRPr="00233E4C">
        <w:rPr>
          <w:rFonts w:ascii="Arial" w:hAnsi="Arial" w:cs="Arial"/>
          <w:sz w:val="20"/>
          <w:szCs w:val="20"/>
        </w:rPr>
        <w:t xml:space="preserve"> in implementing the divestment </w:t>
      </w:r>
      <w:r w:rsidR="00107795">
        <w:rPr>
          <w:rFonts w:ascii="Arial" w:hAnsi="Arial" w:cs="Arial"/>
          <w:sz w:val="20"/>
          <w:szCs w:val="20"/>
        </w:rPr>
        <w:t>of</w:t>
      </w:r>
      <w:r w:rsidRPr="00233E4C">
        <w:rPr>
          <w:rFonts w:ascii="Arial" w:hAnsi="Arial" w:cs="Arial"/>
          <w:sz w:val="20"/>
          <w:szCs w:val="20"/>
        </w:rPr>
        <w:t xml:space="preserve"> capital from PAIC and </w:t>
      </w:r>
      <w:r w:rsidR="00107795">
        <w:rPr>
          <w:rFonts w:ascii="Arial" w:hAnsi="Arial" w:cs="Arial"/>
          <w:sz w:val="20"/>
          <w:szCs w:val="20"/>
        </w:rPr>
        <w:t>continuing</w:t>
      </w:r>
      <w:r w:rsidRPr="00233E4C">
        <w:rPr>
          <w:rFonts w:ascii="Arial" w:hAnsi="Arial" w:cs="Arial"/>
          <w:sz w:val="20"/>
          <w:szCs w:val="20"/>
        </w:rPr>
        <w:t xml:space="preserve"> looking for interested buyers t</w:t>
      </w:r>
      <w:r w:rsidR="00107795">
        <w:rPr>
          <w:rFonts w:ascii="Arial" w:hAnsi="Arial" w:cs="Arial"/>
          <w:sz w:val="20"/>
          <w:szCs w:val="20"/>
        </w:rPr>
        <w:t>o transfer their shares at PAIC</w:t>
      </w:r>
    </w:p>
    <w:p w:rsidR="00107795" w:rsidRDefault="0010779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233E4C" w:rsidRPr="00233E4C">
        <w:rPr>
          <w:rFonts w:ascii="Arial" w:hAnsi="Arial" w:cs="Arial"/>
          <w:sz w:val="20"/>
          <w:szCs w:val="20"/>
        </w:rPr>
        <w:t xml:space="preserve">Regarding the implementation of the Company's current </w:t>
      </w:r>
      <w:r>
        <w:rPr>
          <w:rFonts w:ascii="Arial" w:hAnsi="Arial" w:cs="Arial"/>
          <w:sz w:val="20"/>
          <w:szCs w:val="20"/>
        </w:rPr>
        <w:t>salary</w:t>
      </w:r>
      <w:r w:rsidR="00233E4C" w:rsidRPr="00233E4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Regulation: Based on Report No.162</w:t>
      </w:r>
      <w:r w:rsidR="00233E4C" w:rsidRPr="00233E4C">
        <w:rPr>
          <w:rFonts w:ascii="Arial" w:hAnsi="Arial" w:cs="Arial"/>
          <w:sz w:val="20"/>
          <w:szCs w:val="20"/>
        </w:rPr>
        <w:t xml:space="preserve">/ BC </w:t>
      </w:r>
      <w:r>
        <w:rPr>
          <w:rFonts w:ascii="Arial" w:hAnsi="Arial" w:cs="Arial"/>
          <w:sz w:val="20"/>
          <w:szCs w:val="20"/>
        </w:rPr>
        <w:t>–</w:t>
      </w:r>
      <w:r w:rsidR="00233E4C" w:rsidRPr="00233E4C">
        <w:rPr>
          <w:rFonts w:ascii="Arial" w:hAnsi="Arial" w:cs="Arial"/>
          <w:sz w:val="20"/>
          <w:szCs w:val="20"/>
        </w:rPr>
        <w:t xml:space="preserve"> DVKT</w:t>
      </w:r>
      <w:r>
        <w:rPr>
          <w:rFonts w:ascii="Arial" w:hAnsi="Arial" w:cs="Arial"/>
          <w:sz w:val="20"/>
          <w:szCs w:val="20"/>
        </w:rPr>
        <w:t>.</w:t>
      </w:r>
      <w:r w:rsidR="00233E4C" w:rsidRPr="00233E4C">
        <w:rPr>
          <w:rFonts w:ascii="Arial" w:hAnsi="Arial" w:cs="Arial"/>
          <w:sz w:val="20"/>
          <w:szCs w:val="20"/>
        </w:rPr>
        <w:t>TH of March 24, 2020 of the Company Director, the Board of Di</w:t>
      </w:r>
      <w:r>
        <w:rPr>
          <w:rFonts w:ascii="Arial" w:hAnsi="Arial" w:cs="Arial"/>
          <w:sz w:val="20"/>
          <w:szCs w:val="20"/>
        </w:rPr>
        <w:t>rectors approves</w:t>
      </w:r>
      <w:r w:rsidR="00233E4C" w:rsidRPr="00233E4C">
        <w:rPr>
          <w:rFonts w:ascii="Arial" w:hAnsi="Arial" w:cs="Arial"/>
          <w:sz w:val="20"/>
          <w:szCs w:val="20"/>
        </w:rPr>
        <w:t xml:space="preserve"> the following contents: </w:t>
      </w:r>
    </w:p>
    <w:p w:rsidR="00107795" w:rsidRDefault="00233E4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33E4C">
        <w:rPr>
          <w:rFonts w:ascii="Arial" w:hAnsi="Arial" w:cs="Arial"/>
          <w:sz w:val="20"/>
          <w:szCs w:val="20"/>
        </w:rPr>
        <w:t xml:space="preserve">- Requesting </w:t>
      </w:r>
      <w:r w:rsidR="00107795">
        <w:rPr>
          <w:rFonts w:ascii="Arial" w:hAnsi="Arial" w:cs="Arial"/>
          <w:sz w:val="20"/>
          <w:szCs w:val="20"/>
        </w:rPr>
        <w:t>units of t</w:t>
      </w:r>
      <w:r w:rsidRPr="00233E4C">
        <w:rPr>
          <w:rFonts w:ascii="Arial" w:hAnsi="Arial" w:cs="Arial"/>
          <w:sz w:val="20"/>
          <w:szCs w:val="20"/>
        </w:rPr>
        <w:t xml:space="preserve">he Company </w:t>
      </w:r>
      <w:r w:rsidR="00107795">
        <w:rPr>
          <w:rFonts w:ascii="Arial" w:hAnsi="Arial" w:cs="Arial"/>
          <w:sz w:val="20"/>
          <w:szCs w:val="20"/>
        </w:rPr>
        <w:t>to seriously implement</w:t>
      </w:r>
      <w:r w:rsidRPr="00233E4C">
        <w:rPr>
          <w:rFonts w:ascii="Arial" w:hAnsi="Arial" w:cs="Arial"/>
          <w:sz w:val="20"/>
          <w:szCs w:val="20"/>
        </w:rPr>
        <w:t xml:space="preserve"> the application of effective and uniform salary </w:t>
      </w:r>
      <w:r w:rsidR="00107795">
        <w:rPr>
          <w:rFonts w:ascii="Arial" w:hAnsi="Arial" w:cs="Arial"/>
          <w:sz w:val="20"/>
          <w:szCs w:val="20"/>
        </w:rPr>
        <w:t>throughout the Company</w:t>
      </w:r>
    </w:p>
    <w:p w:rsidR="00107795" w:rsidRDefault="00233E4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33E4C">
        <w:rPr>
          <w:rFonts w:ascii="Arial" w:hAnsi="Arial" w:cs="Arial"/>
          <w:sz w:val="20"/>
          <w:szCs w:val="20"/>
        </w:rPr>
        <w:t>- The company needs to consider adjusting the salary arrangement fo</w:t>
      </w:r>
      <w:r w:rsidR="00107795">
        <w:rPr>
          <w:rFonts w:ascii="Arial" w:hAnsi="Arial" w:cs="Arial"/>
          <w:sz w:val="20"/>
          <w:szCs w:val="20"/>
        </w:rPr>
        <w:t>r employees in the M</w:t>
      </w:r>
      <w:r w:rsidRPr="00233E4C">
        <w:rPr>
          <w:rFonts w:ascii="Arial" w:hAnsi="Arial" w:cs="Arial"/>
          <w:sz w:val="20"/>
          <w:szCs w:val="20"/>
        </w:rPr>
        <w:t xml:space="preserve">eeting </w:t>
      </w:r>
      <w:r w:rsidR="00107795">
        <w:rPr>
          <w:rFonts w:ascii="Arial" w:hAnsi="Arial" w:cs="Arial"/>
          <w:sz w:val="20"/>
          <w:szCs w:val="20"/>
        </w:rPr>
        <w:t xml:space="preserve">of </w:t>
      </w:r>
      <w:r w:rsidRPr="00233E4C">
        <w:rPr>
          <w:rFonts w:ascii="Arial" w:hAnsi="Arial" w:cs="Arial"/>
          <w:sz w:val="20"/>
          <w:szCs w:val="20"/>
        </w:rPr>
        <w:t xml:space="preserve">annual salary </w:t>
      </w:r>
      <w:r w:rsidR="00107795">
        <w:rPr>
          <w:rFonts w:ascii="Arial" w:hAnsi="Arial" w:cs="Arial"/>
          <w:sz w:val="20"/>
          <w:szCs w:val="20"/>
        </w:rPr>
        <w:t>expected in June 2020</w:t>
      </w:r>
    </w:p>
    <w:p w:rsidR="00107795" w:rsidRDefault="00233E4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33E4C">
        <w:rPr>
          <w:rFonts w:ascii="Arial" w:hAnsi="Arial" w:cs="Arial"/>
          <w:sz w:val="20"/>
          <w:szCs w:val="20"/>
        </w:rPr>
        <w:t xml:space="preserve">- Completing the </w:t>
      </w:r>
      <w:r w:rsidR="00107795">
        <w:rPr>
          <w:rFonts w:ascii="Arial" w:hAnsi="Arial" w:cs="Arial"/>
          <w:sz w:val="20"/>
          <w:szCs w:val="20"/>
        </w:rPr>
        <w:t xml:space="preserve">salary </w:t>
      </w:r>
      <w:r w:rsidRPr="00233E4C">
        <w:rPr>
          <w:rFonts w:ascii="Arial" w:hAnsi="Arial" w:cs="Arial"/>
          <w:sz w:val="20"/>
          <w:szCs w:val="20"/>
        </w:rPr>
        <w:t>payment mechanism to f</w:t>
      </w:r>
      <w:r w:rsidR="00107795">
        <w:rPr>
          <w:rFonts w:ascii="Arial" w:hAnsi="Arial" w:cs="Arial"/>
          <w:sz w:val="20"/>
          <w:szCs w:val="20"/>
        </w:rPr>
        <w:t>urther develop outside services</w:t>
      </w:r>
    </w:p>
    <w:p w:rsidR="00107795" w:rsidRDefault="00233E4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33E4C">
        <w:rPr>
          <w:rFonts w:ascii="Arial" w:hAnsi="Arial" w:cs="Arial"/>
          <w:sz w:val="20"/>
          <w:szCs w:val="20"/>
        </w:rPr>
        <w:t xml:space="preserve">- The remaining </w:t>
      </w:r>
      <w:r w:rsidR="00107795">
        <w:rPr>
          <w:rFonts w:ascii="Arial" w:hAnsi="Arial" w:cs="Arial"/>
          <w:sz w:val="20"/>
          <w:szCs w:val="20"/>
        </w:rPr>
        <w:t>proposed contents in Report No.</w:t>
      </w:r>
      <w:r w:rsidRPr="00233E4C">
        <w:rPr>
          <w:rFonts w:ascii="Arial" w:hAnsi="Arial" w:cs="Arial"/>
          <w:sz w:val="20"/>
          <w:szCs w:val="20"/>
        </w:rPr>
        <w:t xml:space="preserve">162/ BC - DVKTTH of March 24, 2020 will be reviewed and commented by the Board of </w:t>
      </w:r>
      <w:r w:rsidR="00107795">
        <w:rPr>
          <w:rFonts w:ascii="Arial" w:hAnsi="Arial" w:cs="Arial"/>
          <w:sz w:val="20"/>
          <w:szCs w:val="20"/>
        </w:rPr>
        <w:t>Directors before April 15, 2020</w:t>
      </w:r>
    </w:p>
    <w:p w:rsidR="00107795" w:rsidRDefault="0010779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Preparation </w:t>
      </w:r>
      <w:r w:rsidR="00233E4C" w:rsidRPr="00233E4C">
        <w:rPr>
          <w:rFonts w:ascii="Arial" w:hAnsi="Arial" w:cs="Arial"/>
          <w:sz w:val="20"/>
          <w:szCs w:val="20"/>
        </w:rPr>
        <w:t xml:space="preserve">for the Annual General Meeting of Shareholders in 2020: </w:t>
      </w:r>
    </w:p>
    <w:p w:rsidR="00107795" w:rsidRDefault="00233E4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33E4C">
        <w:rPr>
          <w:rFonts w:ascii="Arial" w:hAnsi="Arial" w:cs="Arial"/>
          <w:sz w:val="20"/>
          <w:szCs w:val="20"/>
        </w:rPr>
        <w:t>Requesting the related departments to observe closely the implementation of detailed tasks assigned to ens</w:t>
      </w:r>
      <w:r w:rsidR="00107795">
        <w:rPr>
          <w:rFonts w:ascii="Arial" w:hAnsi="Arial" w:cs="Arial"/>
          <w:sz w:val="20"/>
          <w:szCs w:val="20"/>
        </w:rPr>
        <w:t xml:space="preserve">ure the progress as prescribed; </w:t>
      </w:r>
      <w:r w:rsidR="00107795" w:rsidRPr="00233E4C">
        <w:rPr>
          <w:rFonts w:ascii="Arial" w:hAnsi="Arial" w:cs="Arial"/>
          <w:sz w:val="20"/>
          <w:szCs w:val="20"/>
        </w:rPr>
        <w:t>complete</w:t>
      </w:r>
      <w:r w:rsidRPr="00233E4C">
        <w:rPr>
          <w:rFonts w:ascii="Arial" w:hAnsi="Arial" w:cs="Arial"/>
          <w:sz w:val="20"/>
          <w:szCs w:val="20"/>
        </w:rPr>
        <w:t xml:space="preserve"> the documents submitted to the General Meeting of Shar</w:t>
      </w:r>
      <w:r w:rsidR="00107795">
        <w:rPr>
          <w:rFonts w:ascii="Arial" w:hAnsi="Arial" w:cs="Arial"/>
          <w:sz w:val="20"/>
          <w:szCs w:val="20"/>
        </w:rPr>
        <w:t>eholders before April 1, 2020</w:t>
      </w:r>
    </w:p>
    <w:p w:rsidR="00DE40E8" w:rsidRDefault="0010779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="00233E4C" w:rsidRPr="00233E4C">
        <w:rPr>
          <w:rFonts w:ascii="Arial" w:hAnsi="Arial" w:cs="Arial"/>
          <w:sz w:val="20"/>
          <w:szCs w:val="20"/>
        </w:rPr>
        <w:t xml:space="preserve"> Internal training: Assigning the Executive Board to review and deploy the development of internal skills training policies of the Company, focusing on the following key points: (i) building </w:t>
      </w:r>
      <w:r w:rsidR="00DE40E8" w:rsidRPr="00233E4C">
        <w:rPr>
          <w:rFonts w:ascii="Arial" w:hAnsi="Arial" w:cs="Arial"/>
          <w:sz w:val="20"/>
          <w:szCs w:val="20"/>
        </w:rPr>
        <w:t>suitable</w:t>
      </w:r>
      <w:r w:rsidR="00DE40E8" w:rsidRPr="00233E4C">
        <w:rPr>
          <w:rFonts w:ascii="Arial" w:hAnsi="Arial" w:cs="Arial"/>
          <w:sz w:val="20"/>
          <w:szCs w:val="20"/>
        </w:rPr>
        <w:t xml:space="preserve"> </w:t>
      </w:r>
      <w:r w:rsidR="00DE40E8">
        <w:rPr>
          <w:rFonts w:ascii="Arial" w:hAnsi="Arial" w:cs="Arial"/>
          <w:sz w:val="20"/>
          <w:szCs w:val="20"/>
        </w:rPr>
        <w:t xml:space="preserve">education </w:t>
      </w:r>
      <w:r w:rsidR="00233E4C" w:rsidRPr="00233E4C">
        <w:rPr>
          <w:rFonts w:ascii="Arial" w:hAnsi="Arial" w:cs="Arial"/>
          <w:sz w:val="20"/>
          <w:szCs w:val="20"/>
        </w:rPr>
        <w:t>curriculum and sy</w:t>
      </w:r>
      <w:r w:rsidR="00DE40E8">
        <w:rPr>
          <w:rFonts w:ascii="Arial" w:hAnsi="Arial" w:cs="Arial"/>
          <w:sz w:val="20"/>
          <w:szCs w:val="20"/>
        </w:rPr>
        <w:t xml:space="preserve">llabuses for the work of PVPS; </w:t>
      </w:r>
      <w:r w:rsidR="00233E4C" w:rsidRPr="00233E4C">
        <w:rPr>
          <w:rFonts w:ascii="Arial" w:hAnsi="Arial" w:cs="Arial"/>
          <w:sz w:val="20"/>
          <w:szCs w:val="20"/>
        </w:rPr>
        <w:t xml:space="preserve">(ii) fully prepare CCDC, materials and equipment for practical </w:t>
      </w:r>
      <w:r w:rsidR="00DE40E8" w:rsidRPr="00233E4C">
        <w:rPr>
          <w:rFonts w:ascii="Arial" w:hAnsi="Arial" w:cs="Arial"/>
          <w:sz w:val="20"/>
          <w:szCs w:val="20"/>
        </w:rPr>
        <w:t>training</w:t>
      </w:r>
      <w:r w:rsidR="00DE40E8" w:rsidRPr="00233E4C">
        <w:rPr>
          <w:rFonts w:ascii="Arial" w:hAnsi="Arial" w:cs="Arial"/>
          <w:sz w:val="20"/>
          <w:szCs w:val="20"/>
        </w:rPr>
        <w:t xml:space="preserve"> </w:t>
      </w:r>
      <w:r w:rsidR="00DE40E8">
        <w:rPr>
          <w:rFonts w:ascii="Arial" w:hAnsi="Arial" w:cs="Arial"/>
          <w:sz w:val="20"/>
          <w:szCs w:val="20"/>
        </w:rPr>
        <w:t xml:space="preserve">and practice, </w:t>
      </w:r>
      <w:r w:rsidR="00233E4C" w:rsidRPr="00233E4C">
        <w:rPr>
          <w:rFonts w:ascii="Arial" w:hAnsi="Arial" w:cs="Arial"/>
          <w:sz w:val="20"/>
          <w:szCs w:val="20"/>
        </w:rPr>
        <w:t>especially for techn</w:t>
      </w:r>
      <w:r w:rsidR="00DE40E8">
        <w:rPr>
          <w:rFonts w:ascii="Arial" w:hAnsi="Arial" w:cs="Arial"/>
          <w:sz w:val="20"/>
          <w:szCs w:val="20"/>
        </w:rPr>
        <w:t xml:space="preserve">ical workers working directly with the equipment; </w:t>
      </w:r>
      <w:r w:rsidR="00233E4C" w:rsidRPr="00233E4C">
        <w:rPr>
          <w:rFonts w:ascii="Arial" w:hAnsi="Arial" w:cs="Arial"/>
          <w:sz w:val="20"/>
          <w:szCs w:val="20"/>
        </w:rPr>
        <w:t>(iii) adequate remuneration to encourage employees to participate in</w:t>
      </w:r>
      <w:r w:rsidR="00DE40E8">
        <w:rPr>
          <w:rFonts w:ascii="Arial" w:hAnsi="Arial" w:cs="Arial"/>
          <w:sz w:val="20"/>
          <w:szCs w:val="20"/>
        </w:rPr>
        <w:t xml:space="preserve"> the internal training process</w:t>
      </w:r>
    </w:p>
    <w:p w:rsidR="00DE40E8" w:rsidRDefault="00DE40E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3: Assign t</w:t>
      </w:r>
      <w:r w:rsidR="00233E4C" w:rsidRPr="00233E4C">
        <w:rPr>
          <w:rFonts w:ascii="Arial" w:hAnsi="Arial" w:cs="Arial"/>
          <w:sz w:val="20"/>
          <w:szCs w:val="20"/>
        </w:rPr>
        <w:t xml:space="preserve">he Director of Viet Nam </w:t>
      </w:r>
      <w:proofErr w:type="spellStart"/>
      <w:r w:rsidRPr="00DE40E8">
        <w:rPr>
          <w:rFonts w:ascii="Arial" w:hAnsi="Arial" w:cs="Arial"/>
          <w:sz w:val="20"/>
          <w:szCs w:val="20"/>
        </w:rPr>
        <w:t>Petrovietnam</w:t>
      </w:r>
      <w:proofErr w:type="spellEnd"/>
      <w:r w:rsidRPr="00DE40E8">
        <w:rPr>
          <w:rFonts w:ascii="Arial" w:hAnsi="Arial" w:cs="Arial"/>
          <w:sz w:val="20"/>
          <w:szCs w:val="20"/>
        </w:rPr>
        <w:t xml:space="preserve"> Power Services </w:t>
      </w:r>
      <w:r>
        <w:rPr>
          <w:rFonts w:ascii="Arial" w:hAnsi="Arial" w:cs="Arial"/>
          <w:sz w:val="20"/>
          <w:szCs w:val="20"/>
        </w:rPr>
        <w:t xml:space="preserve">Joint Stock Company </w:t>
      </w:r>
      <w:r w:rsidR="00233E4C" w:rsidRPr="00233E4C">
        <w:rPr>
          <w:rFonts w:ascii="Arial" w:hAnsi="Arial" w:cs="Arial"/>
          <w:sz w:val="20"/>
          <w:szCs w:val="20"/>
        </w:rPr>
        <w:t>to direct the functional departments and units of the Company to implement this Resolution in compliance with the Company's</w:t>
      </w:r>
      <w:r>
        <w:rPr>
          <w:rFonts w:ascii="Arial" w:hAnsi="Arial" w:cs="Arial"/>
          <w:sz w:val="20"/>
          <w:szCs w:val="20"/>
        </w:rPr>
        <w:t xml:space="preserve"> regulations and current laws</w:t>
      </w:r>
    </w:p>
    <w:p w:rsidR="00233E4C" w:rsidRDefault="00DE40E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4: </w:t>
      </w:r>
      <w:r w:rsidR="00233E4C" w:rsidRPr="00233E4C">
        <w:rPr>
          <w:rFonts w:ascii="Arial" w:hAnsi="Arial" w:cs="Arial"/>
          <w:sz w:val="20"/>
          <w:szCs w:val="20"/>
        </w:rPr>
        <w:t xml:space="preserve">The Board of Directors, Chief </w:t>
      </w:r>
      <w:r>
        <w:rPr>
          <w:rFonts w:ascii="Arial" w:hAnsi="Arial" w:cs="Arial"/>
          <w:sz w:val="20"/>
          <w:szCs w:val="20"/>
        </w:rPr>
        <w:t>Accountant, Head of Departments</w:t>
      </w:r>
      <w:r w:rsidR="00233E4C" w:rsidRPr="00233E4C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Divisions and</w:t>
      </w:r>
      <w:r w:rsidR="00233E4C" w:rsidRPr="00233E4C">
        <w:rPr>
          <w:rFonts w:ascii="Arial" w:hAnsi="Arial" w:cs="Arial"/>
          <w:sz w:val="20"/>
          <w:szCs w:val="20"/>
        </w:rPr>
        <w:t xml:space="preserve"> Head of units </w:t>
      </w:r>
      <w:r>
        <w:rPr>
          <w:rFonts w:ascii="Arial" w:hAnsi="Arial" w:cs="Arial"/>
          <w:sz w:val="20"/>
          <w:szCs w:val="20"/>
        </w:rPr>
        <w:t>of</w:t>
      </w:r>
      <w:r w:rsidR="00233E4C" w:rsidRPr="00233E4C">
        <w:rPr>
          <w:rFonts w:ascii="Arial" w:hAnsi="Arial" w:cs="Arial"/>
          <w:sz w:val="20"/>
          <w:szCs w:val="20"/>
        </w:rPr>
        <w:t xml:space="preserve"> the Co</w:t>
      </w:r>
      <w:r>
        <w:rPr>
          <w:rFonts w:ascii="Arial" w:hAnsi="Arial" w:cs="Arial"/>
          <w:sz w:val="20"/>
          <w:szCs w:val="20"/>
        </w:rPr>
        <w:t xml:space="preserve">mpany will carry out the Board resolution </w:t>
      </w:r>
    </w:p>
    <w:sectPr w:rsidR="00233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50E3D"/>
    <w:rsid w:val="000A0B74"/>
    <w:rsid w:val="00107795"/>
    <w:rsid w:val="00132EC5"/>
    <w:rsid w:val="00146DCF"/>
    <w:rsid w:val="0016411D"/>
    <w:rsid w:val="001F34A1"/>
    <w:rsid w:val="001F6744"/>
    <w:rsid w:val="00233E4C"/>
    <w:rsid w:val="002D481A"/>
    <w:rsid w:val="002D4939"/>
    <w:rsid w:val="002D53EE"/>
    <w:rsid w:val="002E7FD0"/>
    <w:rsid w:val="00304722"/>
    <w:rsid w:val="00327CF7"/>
    <w:rsid w:val="00397004"/>
    <w:rsid w:val="003A5CE9"/>
    <w:rsid w:val="003B73F7"/>
    <w:rsid w:val="00467BC0"/>
    <w:rsid w:val="00496733"/>
    <w:rsid w:val="004B2BA6"/>
    <w:rsid w:val="00503DD6"/>
    <w:rsid w:val="0052379D"/>
    <w:rsid w:val="005610CB"/>
    <w:rsid w:val="0058434E"/>
    <w:rsid w:val="005B40E5"/>
    <w:rsid w:val="006E15A6"/>
    <w:rsid w:val="00745D9A"/>
    <w:rsid w:val="0077456B"/>
    <w:rsid w:val="007A072F"/>
    <w:rsid w:val="007A1FCC"/>
    <w:rsid w:val="007B67AF"/>
    <w:rsid w:val="008134FC"/>
    <w:rsid w:val="00837771"/>
    <w:rsid w:val="0084485C"/>
    <w:rsid w:val="00853748"/>
    <w:rsid w:val="008544C2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F67BE"/>
    <w:rsid w:val="00B04704"/>
    <w:rsid w:val="00B70D7E"/>
    <w:rsid w:val="00BA1F12"/>
    <w:rsid w:val="00BA3FB7"/>
    <w:rsid w:val="00BD3CCA"/>
    <w:rsid w:val="00C36031"/>
    <w:rsid w:val="00C940B5"/>
    <w:rsid w:val="00D52C26"/>
    <w:rsid w:val="00D74339"/>
    <w:rsid w:val="00D77F89"/>
    <w:rsid w:val="00DA54D0"/>
    <w:rsid w:val="00DD263A"/>
    <w:rsid w:val="00DE40E8"/>
    <w:rsid w:val="00DE5C3C"/>
    <w:rsid w:val="00E5565D"/>
    <w:rsid w:val="00F272CE"/>
    <w:rsid w:val="00F320D6"/>
    <w:rsid w:val="00F86F7A"/>
    <w:rsid w:val="00F903A5"/>
    <w:rsid w:val="00FD3EED"/>
    <w:rsid w:val="00FD4001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72</cp:revision>
  <dcterms:created xsi:type="dcterms:W3CDTF">2019-10-16T10:03:00Z</dcterms:created>
  <dcterms:modified xsi:type="dcterms:W3CDTF">2020-04-01T01:34:00Z</dcterms:modified>
</cp:coreProperties>
</file>